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16A" w:rsidRPr="00FD7451" w:rsidRDefault="00CD309E" w:rsidP="00CD309E">
      <w:pPr>
        <w:pStyle w:val="1"/>
        <w:ind w:left="6379"/>
        <w:jc w:val="center"/>
        <w:rPr>
          <w:color w:val="000000"/>
          <w:sz w:val="28"/>
          <w:szCs w:val="28"/>
        </w:rPr>
      </w:pPr>
      <w:r w:rsidRPr="00FD7451">
        <w:rPr>
          <w:color w:val="000000"/>
          <w:sz w:val="28"/>
          <w:szCs w:val="28"/>
        </w:rPr>
        <w:t>"ЗАТВЕРДЖУЮ"</w:t>
      </w:r>
    </w:p>
    <w:p w:rsidR="00CD309E" w:rsidRPr="00FD7451" w:rsidRDefault="00CD309E" w:rsidP="00CD309E">
      <w:pPr>
        <w:pStyle w:val="1"/>
        <w:spacing w:after="240"/>
        <w:ind w:left="6379"/>
        <w:jc w:val="center"/>
        <w:rPr>
          <w:color w:val="000000"/>
          <w:sz w:val="28"/>
          <w:szCs w:val="28"/>
        </w:rPr>
      </w:pPr>
      <w:r w:rsidRPr="00FD7451">
        <w:rPr>
          <w:color w:val="000000"/>
          <w:sz w:val="28"/>
          <w:szCs w:val="28"/>
        </w:rPr>
        <w:t>Директор природного заповідника "Медобори"</w:t>
      </w:r>
    </w:p>
    <w:p w:rsidR="00CD309E" w:rsidRDefault="00CD309E" w:rsidP="00CD309E">
      <w:pPr>
        <w:pStyle w:val="1"/>
        <w:ind w:left="5954"/>
        <w:jc w:val="right"/>
        <w:rPr>
          <w:color w:val="000000"/>
          <w:sz w:val="28"/>
          <w:szCs w:val="28"/>
        </w:rPr>
      </w:pPr>
      <w:r w:rsidRPr="00FD7451">
        <w:rPr>
          <w:color w:val="000000"/>
          <w:sz w:val="28"/>
          <w:szCs w:val="28"/>
        </w:rPr>
        <w:t xml:space="preserve"> ______________ Іван ФІЛЬ</w:t>
      </w:r>
    </w:p>
    <w:p w:rsidR="00D47283" w:rsidRPr="00FD7451" w:rsidRDefault="00D47283" w:rsidP="00CD309E">
      <w:pPr>
        <w:pStyle w:val="1"/>
        <w:ind w:left="595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"____"______________2025 р.</w:t>
      </w:r>
    </w:p>
    <w:p w:rsidR="00CD309E" w:rsidRPr="00FD7451" w:rsidRDefault="00CD309E">
      <w:pPr>
        <w:pStyle w:val="1"/>
        <w:rPr>
          <w:sz w:val="28"/>
          <w:szCs w:val="28"/>
        </w:rPr>
      </w:pPr>
    </w:p>
    <w:p w:rsidR="00CD309E" w:rsidRPr="00FD7451" w:rsidRDefault="002E0B80" w:rsidP="00CD309E">
      <w:pPr>
        <w:pStyle w:val="20"/>
        <w:jc w:val="center"/>
        <w:rPr>
          <w:sz w:val="28"/>
          <w:szCs w:val="28"/>
        </w:rPr>
      </w:pPr>
      <w:r w:rsidRPr="00FD7451">
        <w:rPr>
          <w:sz w:val="28"/>
          <w:szCs w:val="28"/>
        </w:rPr>
        <w:t>ПЛАН</w:t>
      </w:r>
    </w:p>
    <w:p w:rsidR="00CD309E" w:rsidRPr="00FD7451" w:rsidRDefault="002E0B80" w:rsidP="00CD309E">
      <w:pPr>
        <w:pStyle w:val="20"/>
        <w:jc w:val="center"/>
        <w:rPr>
          <w:sz w:val="28"/>
          <w:szCs w:val="28"/>
        </w:rPr>
      </w:pPr>
      <w:r w:rsidRPr="00FD7451">
        <w:rPr>
          <w:sz w:val="28"/>
          <w:szCs w:val="28"/>
        </w:rPr>
        <w:t>діяльності СЕнМ на 2025-2028 р.</w:t>
      </w:r>
    </w:p>
    <w:p w:rsidR="0087116A" w:rsidRPr="00FD7451" w:rsidRDefault="00CD309E" w:rsidP="00CD309E">
      <w:pPr>
        <w:pStyle w:val="20"/>
        <w:spacing w:after="240"/>
        <w:jc w:val="center"/>
        <w:rPr>
          <w:sz w:val="28"/>
          <w:szCs w:val="28"/>
        </w:rPr>
      </w:pPr>
      <w:r w:rsidRPr="00FD7451">
        <w:rPr>
          <w:sz w:val="28"/>
          <w:szCs w:val="28"/>
        </w:rPr>
        <w:t>природного заповідника "Медобори"</w:t>
      </w:r>
    </w:p>
    <w:p w:rsidR="00FD7451" w:rsidRPr="00AE37C4" w:rsidRDefault="00FD7451" w:rsidP="00AE37C4">
      <w:pPr>
        <w:pStyle w:val="20"/>
        <w:numPr>
          <w:ilvl w:val="0"/>
          <w:numId w:val="3"/>
        </w:numPr>
        <w:tabs>
          <w:tab w:val="left" w:pos="344"/>
        </w:tabs>
        <w:jc w:val="center"/>
        <w:rPr>
          <w:sz w:val="28"/>
          <w:szCs w:val="28"/>
        </w:rPr>
      </w:pPr>
      <w:r w:rsidRPr="00AE37C4">
        <w:rPr>
          <w:sz w:val="28"/>
          <w:szCs w:val="28"/>
        </w:rPr>
        <w:t>Загальні положення</w:t>
      </w:r>
    </w:p>
    <w:p w:rsidR="00FD7451" w:rsidRPr="00FD7451" w:rsidRDefault="00FD7451" w:rsidP="00FD7451">
      <w:pPr>
        <w:pStyle w:val="1"/>
        <w:spacing w:line="259" w:lineRule="auto"/>
        <w:ind w:firstLine="708"/>
        <w:jc w:val="both"/>
        <w:rPr>
          <w:sz w:val="28"/>
          <w:szCs w:val="28"/>
        </w:rPr>
      </w:pPr>
      <w:r w:rsidRPr="00FD7451">
        <w:rPr>
          <w:sz w:val="28"/>
          <w:szCs w:val="28"/>
        </w:rPr>
        <w:t xml:space="preserve">Цей План діяльності СЕнМ розроблено на основі Енергетичної політики </w:t>
      </w:r>
      <w:r>
        <w:rPr>
          <w:sz w:val="28"/>
          <w:szCs w:val="28"/>
        </w:rPr>
        <w:t>п</w:t>
      </w:r>
      <w:r w:rsidRPr="00FD7451">
        <w:rPr>
          <w:sz w:val="28"/>
          <w:szCs w:val="28"/>
        </w:rPr>
        <w:t>риродного заповідника "Медобори" та результатів первинного енергетичного огляду. Він визначає конкретні заходи, відповідальних осіб, терміни та очіку</w:t>
      </w:r>
      <w:r>
        <w:rPr>
          <w:sz w:val="28"/>
          <w:szCs w:val="28"/>
        </w:rPr>
        <w:t>вані результати для досягнення ці</w:t>
      </w:r>
      <w:r w:rsidRPr="00FD7451">
        <w:rPr>
          <w:sz w:val="28"/>
          <w:szCs w:val="28"/>
        </w:rPr>
        <w:t>лей СЕнМ у 2025</w:t>
      </w:r>
      <w:r>
        <w:rPr>
          <w:sz w:val="28"/>
          <w:szCs w:val="28"/>
        </w:rPr>
        <w:t>-2028 роках</w:t>
      </w:r>
      <w:r w:rsidRPr="00FD7451">
        <w:rPr>
          <w:sz w:val="28"/>
          <w:szCs w:val="28"/>
        </w:rPr>
        <w:t>.</w:t>
      </w:r>
    </w:p>
    <w:p w:rsidR="00FD7451" w:rsidRPr="00FD7451" w:rsidRDefault="00FD7451" w:rsidP="00FD7451">
      <w:pPr>
        <w:pStyle w:val="1"/>
        <w:spacing w:line="262" w:lineRule="auto"/>
        <w:jc w:val="both"/>
        <w:rPr>
          <w:sz w:val="28"/>
          <w:szCs w:val="28"/>
        </w:rPr>
      </w:pPr>
      <w:r w:rsidRPr="00FD7451">
        <w:rPr>
          <w:b/>
          <w:bCs/>
          <w:sz w:val="28"/>
          <w:szCs w:val="28"/>
        </w:rPr>
        <w:t xml:space="preserve">Мета: </w:t>
      </w:r>
      <w:r w:rsidRPr="00FD7451">
        <w:rPr>
          <w:sz w:val="28"/>
          <w:szCs w:val="28"/>
        </w:rPr>
        <w:t xml:space="preserve">Постійне покращення енергетичної результативності </w:t>
      </w:r>
      <w:r>
        <w:rPr>
          <w:sz w:val="28"/>
          <w:szCs w:val="28"/>
        </w:rPr>
        <w:t>п</w:t>
      </w:r>
      <w:r w:rsidRPr="00FD7451">
        <w:rPr>
          <w:sz w:val="28"/>
          <w:szCs w:val="28"/>
        </w:rPr>
        <w:t>риродного заповідника "Медобори" шляхом зниження споживання енергетичних ресурсів та підвищення ефективності їх використання.</w:t>
      </w:r>
    </w:p>
    <w:p w:rsidR="00FD7451" w:rsidRPr="00FD7451" w:rsidRDefault="00FD7451" w:rsidP="00AE37C4">
      <w:pPr>
        <w:pStyle w:val="20"/>
        <w:numPr>
          <w:ilvl w:val="0"/>
          <w:numId w:val="3"/>
        </w:numPr>
        <w:tabs>
          <w:tab w:val="left" w:pos="349"/>
        </w:tabs>
        <w:jc w:val="center"/>
        <w:rPr>
          <w:sz w:val="28"/>
          <w:szCs w:val="28"/>
        </w:rPr>
      </w:pPr>
      <w:r w:rsidRPr="00FD7451">
        <w:rPr>
          <w:sz w:val="28"/>
          <w:szCs w:val="28"/>
        </w:rPr>
        <w:t>Аналіз поточного стану (коротко)</w:t>
      </w:r>
    </w:p>
    <w:p w:rsidR="00FD7451" w:rsidRPr="00FD7451" w:rsidRDefault="00FD7451" w:rsidP="000C5388">
      <w:pPr>
        <w:pStyle w:val="1"/>
        <w:numPr>
          <w:ilvl w:val="0"/>
          <w:numId w:val="4"/>
        </w:numPr>
        <w:tabs>
          <w:tab w:val="left" w:pos="722"/>
        </w:tabs>
        <w:spacing w:line="264" w:lineRule="auto"/>
        <w:ind w:left="360" w:hanging="360"/>
        <w:jc w:val="both"/>
        <w:rPr>
          <w:sz w:val="28"/>
          <w:szCs w:val="28"/>
        </w:rPr>
      </w:pPr>
      <w:r w:rsidRPr="00FD7451">
        <w:rPr>
          <w:b/>
          <w:bCs/>
          <w:sz w:val="28"/>
          <w:szCs w:val="28"/>
        </w:rPr>
        <w:t xml:space="preserve">Основні споживачі електроенергії: </w:t>
      </w:r>
      <w:r w:rsidRPr="00FD7451">
        <w:rPr>
          <w:sz w:val="28"/>
          <w:szCs w:val="28"/>
        </w:rPr>
        <w:t xml:space="preserve">освітлення (50%), </w:t>
      </w:r>
      <w:r>
        <w:rPr>
          <w:sz w:val="28"/>
          <w:szCs w:val="28"/>
        </w:rPr>
        <w:t xml:space="preserve"> офісна та комп’ютерна техніка </w:t>
      </w:r>
      <w:r w:rsidRPr="00FD7451">
        <w:rPr>
          <w:sz w:val="28"/>
          <w:szCs w:val="28"/>
        </w:rPr>
        <w:t>(</w:t>
      </w:r>
      <w:r>
        <w:rPr>
          <w:sz w:val="28"/>
          <w:szCs w:val="28"/>
        </w:rPr>
        <w:t>40</w:t>
      </w:r>
      <w:r w:rsidRPr="00FD7451">
        <w:rPr>
          <w:sz w:val="28"/>
          <w:szCs w:val="28"/>
        </w:rPr>
        <w:t>%),  інше (10%).</w:t>
      </w:r>
    </w:p>
    <w:p w:rsidR="00FD7451" w:rsidRPr="00FD7451" w:rsidRDefault="00FD7451" w:rsidP="000C5388">
      <w:pPr>
        <w:pStyle w:val="1"/>
        <w:numPr>
          <w:ilvl w:val="0"/>
          <w:numId w:val="4"/>
        </w:numPr>
        <w:tabs>
          <w:tab w:val="left" w:pos="722"/>
        </w:tabs>
        <w:spacing w:line="264" w:lineRule="auto"/>
        <w:ind w:left="360" w:hanging="360"/>
        <w:jc w:val="both"/>
        <w:rPr>
          <w:sz w:val="28"/>
          <w:szCs w:val="28"/>
        </w:rPr>
      </w:pPr>
      <w:r w:rsidRPr="00FD7451">
        <w:rPr>
          <w:b/>
          <w:bCs/>
          <w:sz w:val="28"/>
          <w:szCs w:val="28"/>
        </w:rPr>
        <w:t xml:space="preserve">Основні споживачі теплової енергії: </w:t>
      </w:r>
      <w:r w:rsidRPr="00FD7451">
        <w:rPr>
          <w:sz w:val="28"/>
          <w:szCs w:val="28"/>
        </w:rPr>
        <w:t>опалення офісних приміщень (</w:t>
      </w:r>
      <w:r>
        <w:rPr>
          <w:sz w:val="28"/>
          <w:szCs w:val="28"/>
        </w:rPr>
        <w:t>100%).</w:t>
      </w:r>
      <w:r w:rsidRPr="00FD7451">
        <w:rPr>
          <w:sz w:val="28"/>
          <w:szCs w:val="28"/>
        </w:rPr>
        <w:t xml:space="preserve"> </w:t>
      </w:r>
    </w:p>
    <w:p w:rsidR="00FD7451" w:rsidRPr="00FD7451" w:rsidRDefault="00FD7451" w:rsidP="000C5388">
      <w:pPr>
        <w:pStyle w:val="1"/>
        <w:numPr>
          <w:ilvl w:val="0"/>
          <w:numId w:val="4"/>
        </w:numPr>
        <w:tabs>
          <w:tab w:val="left" w:pos="722"/>
        </w:tabs>
        <w:spacing w:line="264" w:lineRule="auto"/>
        <w:ind w:firstLine="360"/>
        <w:jc w:val="both"/>
        <w:rPr>
          <w:sz w:val="28"/>
          <w:szCs w:val="28"/>
        </w:rPr>
      </w:pPr>
      <w:r w:rsidRPr="00FD7451">
        <w:rPr>
          <w:b/>
          <w:bCs/>
          <w:sz w:val="28"/>
          <w:szCs w:val="28"/>
        </w:rPr>
        <w:t>Базова лінія</w:t>
      </w:r>
      <w:r w:rsidR="00AE37C4">
        <w:rPr>
          <w:b/>
          <w:bCs/>
          <w:sz w:val="28"/>
          <w:szCs w:val="28"/>
        </w:rPr>
        <w:t xml:space="preserve"> споживання електроенергії (2024</w:t>
      </w:r>
      <w:r w:rsidRPr="00FD7451">
        <w:rPr>
          <w:b/>
          <w:bCs/>
          <w:sz w:val="28"/>
          <w:szCs w:val="28"/>
        </w:rPr>
        <w:t xml:space="preserve"> рік): </w:t>
      </w:r>
      <w:r w:rsidR="006814A5" w:rsidRPr="006814A5">
        <w:rPr>
          <w:sz w:val="28"/>
          <w:szCs w:val="28"/>
          <w:lang w:val="ru-RU"/>
        </w:rPr>
        <w:t>7000</w:t>
      </w:r>
      <w:r w:rsidRPr="00FD7451">
        <w:rPr>
          <w:sz w:val="28"/>
          <w:szCs w:val="28"/>
        </w:rPr>
        <w:t xml:space="preserve"> кВт год/рік.</w:t>
      </w:r>
    </w:p>
    <w:p w:rsidR="00FD7451" w:rsidRPr="00FD7451" w:rsidRDefault="00FD7451" w:rsidP="000C5388">
      <w:pPr>
        <w:pStyle w:val="1"/>
        <w:numPr>
          <w:ilvl w:val="0"/>
          <w:numId w:val="4"/>
        </w:numPr>
        <w:tabs>
          <w:tab w:val="left" w:pos="722"/>
        </w:tabs>
        <w:spacing w:line="264" w:lineRule="auto"/>
        <w:ind w:firstLine="360"/>
        <w:jc w:val="both"/>
        <w:rPr>
          <w:sz w:val="28"/>
          <w:szCs w:val="28"/>
        </w:rPr>
      </w:pPr>
      <w:r w:rsidRPr="00FD7451">
        <w:rPr>
          <w:b/>
          <w:bCs/>
          <w:sz w:val="28"/>
          <w:szCs w:val="28"/>
        </w:rPr>
        <w:t>Базова лінія споживання природного газу (</w:t>
      </w:r>
      <w:r w:rsidR="00AE37C4">
        <w:rPr>
          <w:b/>
          <w:bCs/>
          <w:sz w:val="28"/>
          <w:szCs w:val="28"/>
        </w:rPr>
        <w:t>2024</w:t>
      </w:r>
      <w:r w:rsidRPr="00FD7451">
        <w:rPr>
          <w:b/>
          <w:bCs/>
          <w:sz w:val="28"/>
          <w:szCs w:val="28"/>
        </w:rPr>
        <w:t xml:space="preserve"> рік): </w:t>
      </w:r>
      <w:r w:rsidR="006814A5">
        <w:rPr>
          <w:sz w:val="28"/>
          <w:szCs w:val="28"/>
          <w:lang w:val="en-US"/>
        </w:rPr>
        <w:t>3800</w:t>
      </w:r>
      <w:bookmarkStart w:id="0" w:name="_GoBack"/>
      <w:bookmarkEnd w:id="0"/>
      <w:r w:rsidRPr="00FD7451">
        <w:rPr>
          <w:sz w:val="28"/>
          <w:szCs w:val="28"/>
        </w:rPr>
        <w:t xml:space="preserve"> м</w:t>
      </w:r>
      <w:r w:rsidRPr="00FD7451">
        <w:rPr>
          <w:sz w:val="28"/>
          <w:szCs w:val="28"/>
          <w:vertAlign w:val="superscript"/>
        </w:rPr>
        <w:t>3</w:t>
      </w:r>
      <w:r w:rsidRPr="00FD7451">
        <w:rPr>
          <w:sz w:val="28"/>
          <w:szCs w:val="28"/>
        </w:rPr>
        <w:t>/рік.</w:t>
      </w:r>
    </w:p>
    <w:p w:rsidR="00FD7451" w:rsidRPr="00FD7451" w:rsidRDefault="00FD7451" w:rsidP="00AE37C4">
      <w:pPr>
        <w:pStyle w:val="20"/>
        <w:numPr>
          <w:ilvl w:val="0"/>
          <w:numId w:val="3"/>
        </w:numPr>
        <w:tabs>
          <w:tab w:val="left" w:pos="363"/>
        </w:tabs>
        <w:jc w:val="center"/>
        <w:rPr>
          <w:sz w:val="28"/>
          <w:szCs w:val="28"/>
        </w:rPr>
      </w:pPr>
      <w:r w:rsidRPr="00FD7451">
        <w:rPr>
          <w:sz w:val="28"/>
          <w:szCs w:val="28"/>
        </w:rPr>
        <w:t>Цілі та завдання на 2025</w:t>
      </w:r>
      <w:r w:rsidR="00AE37C4">
        <w:rPr>
          <w:sz w:val="28"/>
          <w:szCs w:val="28"/>
        </w:rPr>
        <w:t>-2028</w:t>
      </w:r>
      <w:r w:rsidRPr="00FD7451">
        <w:rPr>
          <w:sz w:val="28"/>
          <w:szCs w:val="28"/>
        </w:rPr>
        <w:t xml:space="preserve"> р</w:t>
      </w:r>
      <w:r w:rsidR="00AE37C4">
        <w:rPr>
          <w:sz w:val="28"/>
          <w:szCs w:val="28"/>
        </w:rPr>
        <w:t>оки.</w:t>
      </w:r>
    </w:p>
    <w:p w:rsidR="00FD7451" w:rsidRPr="00FD7451" w:rsidRDefault="00FD7451" w:rsidP="000C5388">
      <w:pPr>
        <w:pStyle w:val="1"/>
        <w:spacing w:line="259" w:lineRule="auto"/>
        <w:jc w:val="both"/>
        <w:rPr>
          <w:sz w:val="28"/>
          <w:szCs w:val="28"/>
        </w:rPr>
      </w:pPr>
      <w:r w:rsidRPr="00FD7451">
        <w:rPr>
          <w:b/>
          <w:bCs/>
          <w:sz w:val="28"/>
          <w:szCs w:val="28"/>
        </w:rPr>
        <w:t xml:space="preserve">Стратегічна ціль: </w:t>
      </w:r>
      <w:r w:rsidRPr="00FD7451">
        <w:rPr>
          <w:sz w:val="28"/>
          <w:szCs w:val="28"/>
        </w:rPr>
        <w:t>Знизити загальне споживання електроенергії на 1,5% та природного газу на 2% відносно базової лінії 2024 року</w:t>
      </w:r>
    </w:p>
    <w:p w:rsidR="00FD7451" w:rsidRPr="00FD7451" w:rsidRDefault="00FD7451" w:rsidP="000C5388">
      <w:pPr>
        <w:pStyle w:val="1"/>
        <w:spacing w:line="254" w:lineRule="auto"/>
        <w:jc w:val="both"/>
        <w:rPr>
          <w:sz w:val="28"/>
          <w:szCs w:val="28"/>
        </w:rPr>
      </w:pPr>
      <w:r w:rsidRPr="00FD7451">
        <w:rPr>
          <w:b/>
          <w:bCs/>
          <w:sz w:val="28"/>
          <w:szCs w:val="28"/>
        </w:rPr>
        <w:t>Операційні завдання:</w:t>
      </w:r>
    </w:p>
    <w:p w:rsidR="00FD7451" w:rsidRPr="00FD7451" w:rsidRDefault="00FD7451" w:rsidP="000C5388">
      <w:pPr>
        <w:pStyle w:val="1"/>
        <w:numPr>
          <w:ilvl w:val="0"/>
          <w:numId w:val="6"/>
        </w:numPr>
        <w:tabs>
          <w:tab w:val="left" w:pos="722"/>
        </w:tabs>
        <w:spacing w:line="254" w:lineRule="auto"/>
        <w:ind w:left="360" w:hanging="360"/>
        <w:jc w:val="both"/>
        <w:rPr>
          <w:sz w:val="28"/>
          <w:szCs w:val="28"/>
        </w:rPr>
      </w:pPr>
      <w:r w:rsidRPr="00FD7451">
        <w:rPr>
          <w:sz w:val="28"/>
          <w:szCs w:val="28"/>
        </w:rPr>
        <w:t xml:space="preserve">Знизити споживання електроенергії системою освітлення на </w:t>
      </w:r>
      <w:r w:rsidR="00AD2641">
        <w:rPr>
          <w:sz w:val="28"/>
          <w:szCs w:val="28"/>
        </w:rPr>
        <w:t>2-3</w:t>
      </w:r>
      <w:r w:rsidRPr="00FD7451">
        <w:rPr>
          <w:sz w:val="28"/>
          <w:szCs w:val="28"/>
        </w:rPr>
        <w:t>%.</w:t>
      </w:r>
    </w:p>
    <w:p w:rsidR="00FD7451" w:rsidRPr="00FD7451" w:rsidRDefault="00FD7451" w:rsidP="000C5388">
      <w:pPr>
        <w:pStyle w:val="1"/>
        <w:numPr>
          <w:ilvl w:val="0"/>
          <w:numId w:val="6"/>
        </w:numPr>
        <w:tabs>
          <w:tab w:val="left" w:pos="722"/>
        </w:tabs>
        <w:spacing w:line="254" w:lineRule="auto"/>
        <w:ind w:left="360" w:hanging="360"/>
        <w:jc w:val="both"/>
        <w:rPr>
          <w:sz w:val="28"/>
          <w:szCs w:val="28"/>
        </w:rPr>
      </w:pPr>
      <w:r w:rsidRPr="00FD7451">
        <w:rPr>
          <w:sz w:val="28"/>
          <w:szCs w:val="28"/>
        </w:rPr>
        <w:t xml:space="preserve">Оптимізувати режим роботи системи опалення </w:t>
      </w:r>
      <w:r w:rsidR="00AE37C4">
        <w:rPr>
          <w:sz w:val="28"/>
          <w:szCs w:val="28"/>
        </w:rPr>
        <w:t>в приміщеннях</w:t>
      </w:r>
      <w:r w:rsidRPr="00FD7451">
        <w:rPr>
          <w:sz w:val="28"/>
          <w:szCs w:val="28"/>
        </w:rPr>
        <w:t xml:space="preserve"> для зниження споживання газу на </w:t>
      </w:r>
      <w:r w:rsidR="00AE37C4">
        <w:rPr>
          <w:sz w:val="28"/>
          <w:szCs w:val="28"/>
        </w:rPr>
        <w:t>2</w:t>
      </w:r>
      <w:r w:rsidRPr="00FD7451">
        <w:rPr>
          <w:sz w:val="28"/>
          <w:szCs w:val="28"/>
        </w:rPr>
        <w:t>%.</w:t>
      </w:r>
    </w:p>
    <w:p w:rsidR="00FD7451" w:rsidRDefault="00FD7451" w:rsidP="000C5388">
      <w:pPr>
        <w:pStyle w:val="1"/>
        <w:numPr>
          <w:ilvl w:val="0"/>
          <w:numId w:val="6"/>
        </w:numPr>
        <w:tabs>
          <w:tab w:val="left" w:pos="722"/>
        </w:tabs>
        <w:spacing w:line="254" w:lineRule="auto"/>
        <w:ind w:left="360" w:hanging="360"/>
        <w:jc w:val="both"/>
        <w:rPr>
          <w:sz w:val="28"/>
          <w:szCs w:val="28"/>
        </w:rPr>
      </w:pPr>
      <w:r w:rsidRPr="00FD7451">
        <w:rPr>
          <w:sz w:val="28"/>
          <w:szCs w:val="28"/>
        </w:rPr>
        <w:t>Підвищити обізнаність персоналу щодо енергозбереження.</w:t>
      </w:r>
    </w:p>
    <w:p w:rsidR="00415A62" w:rsidRPr="00FD7451" w:rsidRDefault="00415A62" w:rsidP="00415A62">
      <w:pPr>
        <w:pStyle w:val="1"/>
        <w:tabs>
          <w:tab w:val="left" w:pos="722"/>
        </w:tabs>
        <w:spacing w:line="254" w:lineRule="auto"/>
        <w:ind w:left="360"/>
        <w:rPr>
          <w:sz w:val="28"/>
          <w:szCs w:val="28"/>
        </w:rPr>
      </w:pPr>
    </w:p>
    <w:p w:rsidR="00FD7451" w:rsidRDefault="00FD7451" w:rsidP="00AE37C4">
      <w:pPr>
        <w:pStyle w:val="20"/>
        <w:numPr>
          <w:ilvl w:val="0"/>
          <w:numId w:val="3"/>
        </w:numPr>
        <w:tabs>
          <w:tab w:val="left" w:pos="363"/>
        </w:tabs>
        <w:spacing w:after="120"/>
        <w:jc w:val="center"/>
        <w:rPr>
          <w:sz w:val="28"/>
          <w:szCs w:val="28"/>
        </w:rPr>
      </w:pPr>
      <w:r w:rsidRPr="00FD7451">
        <w:rPr>
          <w:sz w:val="28"/>
          <w:szCs w:val="28"/>
        </w:rPr>
        <w:t>План заходів з енергоефективності на 2025</w:t>
      </w:r>
      <w:r w:rsidR="00AE37C4">
        <w:rPr>
          <w:sz w:val="28"/>
          <w:szCs w:val="28"/>
        </w:rPr>
        <w:t>-2028</w:t>
      </w:r>
      <w:r w:rsidRPr="00FD7451">
        <w:rPr>
          <w:sz w:val="28"/>
          <w:szCs w:val="28"/>
        </w:rPr>
        <w:t xml:space="preserve"> р</w:t>
      </w:r>
      <w:r w:rsidR="00AE37C4">
        <w:rPr>
          <w:sz w:val="28"/>
          <w:szCs w:val="28"/>
        </w:rPr>
        <w:t>оки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096"/>
        <w:gridCol w:w="1378"/>
        <w:gridCol w:w="1771"/>
        <w:gridCol w:w="1554"/>
        <w:gridCol w:w="1427"/>
        <w:gridCol w:w="1410"/>
      </w:tblGrid>
      <w:tr w:rsidR="00AE37C4" w:rsidRPr="006A2261" w:rsidTr="00826AB4">
        <w:tc>
          <w:tcPr>
            <w:tcW w:w="562" w:type="dxa"/>
            <w:vAlign w:val="center"/>
          </w:tcPr>
          <w:p w:rsidR="00AE37C4" w:rsidRPr="006A2261" w:rsidRDefault="00AE37C4" w:rsidP="006A2261">
            <w:pPr>
              <w:pStyle w:val="20"/>
              <w:tabs>
                <w:tab w:val="left" w:pos="363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A2261">
              <w:rPr>
                <w:sz w:val="24"/>
                <w:szCs w:val="24"/>
              </w:rPr>
              <w:t>№</w:t>
            </w:r>
          </w:p>
        </w:tc>
        <w:tc>
          <w:tcPr>
            <w:tcW w:w="2096" w:type="dxa"/>
            <w:vAlign w:val="center"/>
          </w:tcPr>
          <w:p w:rsidR="00AE37C4" w:rsidRPr="006A2261" w:rsidRDefault="00AE37C4" w:rsidP="006A2261">
            <w:pPr>
              <w:pStyle w:val="20"/>
              <w:tabs>
                <w:tab w:val="left" w:pos="363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A2261">
              <w:rPr>
                <w:color w:val="000000"/>
                <w:sz w:val="24"/>
                <w:szCs w:val="24"/>
              </w:rPr>
              <w:t>Назва заходу</w:t>
            </w:r>
          </w:p>
        </w:tc>
        <w:tc>
          <w:tcPr>
            <w:tcW w:w="1378" w:type="dxa"/>
            <w:vAlign w:val="center"/>
          </w:tcPr>
          <w:p w:rsidR="00AE37C4" w:rsidRPr="006A2261" w:rsidRDefault="00826AB4" w:rsidP="006A2261">
            <w:pPr>
              <w:pStyle w:val="20"/>
              <w:tabs>
                <w:tab w:val="left" w:pos="363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A2261">
              <w:rPr>
                <w:color w:val="000000"/>
                <w:sz w:val="24"/>
                <w:szCs w:val="24"/>
              </w:rPr>
              <w:t>Опис заходу</w:t>
            </w:r>
          </w:p>
        </w:tc>
        <w:tc>
          <w:tcPr>
            <w:tcW w:w="1771" w:type="dxa"/>
            <w:vAlign w:val="center"/>
          </w:tcPr>
          <w:p w:rsidR="00AE37C4" w:rsidRPr="006A2261" w:rsidRDefault="00826AB4" w:rsidP="006A2261">
            <w:pPr>
              <w:pStyle w:val="20"/>
              <w:tabs>
                <w:tab w:val="left" w:pos="363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A2261">
              <w:rPr>
                <w:color w:val="000000"/>
                <w:sz w:val="24"/>
                <w:szCs w:val="24"/>
              </w:rPr>
              <w:t>Очікуваний ефект (орієнтовно)</w:t>
            </w:r>
          </w:p>
        </w:tc>
        <w:tc>
          <w:tcPr>
            <w:tcW w:w="1554" w:type="dxa"/>
            <w:vAlign w:val="center"/>
          </w:tcPr>
          <w:p w:rsidR="00826AB4" w:rsidRPr="006A2261" w:rsidRDefault="00826AB4" w:rsidP="006A2261">
            <w:pPr>
              <w:pStyle w:val="20"/>
              <w:tabs>
                <w:tab w:val="left" w:pos="363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261">
              <w:rPr>
                <w:color w:val="000000"/>
                <w:sz w:val="24"/>
                <w:szCs w:val="24"/>
              </w:rPr>
              <w:t>Відповідаль</w:t>
            </w:r>
            <w:r w:rsidR="00415A62">
              <w:rPr>
                <w:color w:val="000000"/>
                <w:sz w:val="24"/>
                <w:szCs w:val="24"/>
              </w:rPr>
              <w:t>-</w:t>
            </w:r>
          </w:p>
          <w:p w:rsidR="00AE37C4" w:rsidRPr="006A2261" w:rsidRDefault="00826AB4" w:rsidP="006A2261">
            <w:pPr>
              <w:pStyle w:val="20"/>
              <w:tabs>
                <w:tab w:val="left" w:pos="363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A2261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427" w:type="dxa"/>
            <w:vAlign w:val="center"/>
          </w:tcPr>
          <w:p w:rsidR="00AE37C4" w:rsidRPr="006A2261" w:rsidRDefault="00826AB4" w:rsidP="006A2261">
            <w:pPr>
              <w:pStyle w:val="20"/>
              <w:tabs>
                <w:tab w:val="left" w:pos="363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A2261">
              <w:rPr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1410" w:type="dxa"/>
            <w:vAlign w:val="center"/>
          </w:tcPr>
          <w:p w:rsidR="00826AB4" w:rsidRPr="006A2261" w:rsidRDefault="00826AB4" w:rsidP="006A2261">
            <w:pPr>
              <w:pStyle w:val="a9"/>
              <w:spacing w:line="240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6A2261">
              <w:rPr>
                <w:b/>
                <w:color w:val="000000"/>
                <w:sz w:val="24"/>
                <w:szCs w:val="24"/>
              </w:rPr>
              <w:t>Необхідні</w:t>
            </w:r>
          </w:p>
          <w:p w:rsidR="00AE37C4" w:rsidRPr="006A2261" w:rsidRDefault="00826AB4" w:rsidP="006A2261">
            <w:pPr>
              <w:pStyle w:val="20"/>
              <w:tabs>
                <w:tab w:val="left" w:pos="363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A2261">
              <w:rPr>
                <w:color w:val="000000"/>
                <w:sz w:val="24"/>
                <w:szCs w:val="24"/>
              </w:rPr>
              <w:t>ресурси</w:t>
            </w:r>
          </w:p>
        </w:tc>
      </w:tr>
      <w:tr w:rsidR="00415A62" w:rsidRPr="006A2261" w:rsidTr="00415A62">
        <w:tc>
          <w:tcPr>
            <w:tcW w:w="10198" w:type="dxa"/>
            <w:gridSpan w:val="7"/>
            <w:vAlign w:val="center"/>
          </w:tcPr>
          <w:p w:rsidR="00415A62" w:rsidRPr="006A2261" w:rsidRDefault="00415A62" w:rsidP="00415A62">
            <w:pPr>
              <w:pStyle w:val="20"/>
              <w:tabs>
                <w:tab w:val="left" w:pos="363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A2261">
              <w:rPr>
                <w:sz w:val="24"/>
                <w:szCs w:val="24"/>
              </w:rPr>
              <w:t>Електроенергія</w:t>
            </w:r>
          </w:p>
        </w:tc>
      </w:tr>
      <w:tr w:rsidR="00AE37C4" w:rsidRPr="006A2261" w:rsidTr="00826AB4">
        <w:tc>
          <w:tcPr>
            <w:tcW w:w="562" w:type="dxa"/>
          </w:tcPr>
          <w:p w:rsidR="00AE37C4" w:rsidRPr="006A2261" w:rsidRDefault="00AE37C4" w:rsidP="006A2261">
            <w:pPr>
              <w:pStyle w:val="20"/>
              <w:numPr>
                <w:ilvl w:val="0"/>
                <w:numId w:val="10"/>
              </w:numPr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2096" w:type="dxa"/>
          </w:tcPr>
          <w:p w:rsidR="00AE37C4" w:rsidRPr="006A2261" w:rsidRDefault="00826AB4" w:rsidP="006A2261">
            <w:pPr>
              <w:pStyle w:val="20"/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  <w:r w:rsidRPr="006A2261">
              <w:rPr>
                <w:b w:val="0"/>
                <w:sz w:val="24"/>
                <w:szCs w:val="24"/>
              </w:rPr>
              <w:t>Модернізація освітлення</w:t>
            </w:r>
          </w:p>
        </w:tc>
        <w:tc>
          <w:tcPr>
            <w:tcW w:w="1378" w:type="dxa"/>
          </w:tcPr>
          <w:p w:rsidR="00AE37C4" w:rsidRPr="006A2261" w:rsidRDefault="00826AB4" w:rsidP="006A2261">
            <w:pPr>
              <w:pStyle w:val="20"/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  <w:lang w:val="ru-RU"/>
              </w:rPr>
            </w:pPr>
            <w:r w:rsidRPr="006A2261">
              <w:rPr>
                <w:b w:val="0"/>
                <w:sz w:val="24"/>
                <w:szCs w:val="24"/>
              </w:rPr>
              <w:t xml:space="preserve">Заміна ламп розжарювання на </w:t>
            </w:r>
            <w:r w:rsidRPr="006A2261">
              <w:rPr>
                <w:b w:val="0"/>
                <w:sz w:val="24"/>
                <w:szCs w:val="24"/>
                <w:lang w:val="en-US"/>
              </w:rPr>
              <w:t>LED</w:t>
            </w:r>
            <w:r w:rsidRPr="006A2261">
              <w:rPr>
                <w:b w:val="0"/>
                <w:sz w:val="24"/>
                <w:szCs w:val="24"/>
                <w:lang w:val="ru-RU"/>
              </w:rPr>
              <w:t xml:space="preserve"> світильники (15 шт.)</w:t>
            </w:r>
          </w:p>
        </w:tc>
        <w:tc>
          <w:tcPr>
            <w:tcW w:w="1771" w:type="dxa"/>
          </w:tcPr>
          <w:p w:rsidR="00AE37C4" w:rsidRPr="006A2261" w:rsidRDefault="001B6A38" w:rsidP="006A2261">
            <w:pPr>
              <w:pStyle w:val="20"/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  <w:r w:rsidRPr="006A2261">
              <w:rPr>
                <w:b w:val="0"/>
                <w:sz w:val="24"/>
                <w:szCs w:val="24"/>
              </w:rPr>
              <w:t>0,9</w:t>
            </w:r>
            <w:r w:rsidR="00826AB4" w:rsidRPr="006A2261">
              <w:rPr>
                <w:b w:val="0"/>
                <w:sz w:val="24"/>
                <w:szCs w:val="24"/>
              </w:rPr>
              <w:t>% від загального споживання</w:t>
            </w:r>
          </w:p>
        </w:tc>
        <w:tc>
          <w:tcPr>
            <w:tcW w:w="1554" w:type="dxa"/>
          </w:tcPr>
          <w:p w:rsidR="00AE37C4" w:rsidRPr="006A2261" w:rsidRDefault="006A2261" w:rsidP="006A2261">
            <w:pPr>
              <w:pStyle w:val="20"/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  <w:r w:rsidRPr="006A2261">
              <w:rPr>
                <w:b w:val="0"/>
                <w:sz w:val="24"/>
                <w:szCs w:val="24"/>
              </w:rPr>
              <w:t>Заступник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6A2261">
              <w:rPr>
                <w:b w:val="0"/>
                <w:sz w:val="24"/>
                <w:szCs w:val="24"/>
              </w:rPr>
              <w:t>начальника господарсько-технічного відділу</w:t>
            </w:r>
          </w:p>
        </w:tc>
        <w:tc>
          <w:tcPr>
            <w:tcW w:w="1427" w:type="dxa"/>
          </w:tcPr>
          <w:p w:rsidR="00AE37C4" w:rsidRPr="006A2261" w:rsidRDefault="00AD2641" w:rsidP="006A2261">
            <w:pPr>
              <w:pStyle w:val="20"/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31.12.2026 р.</w:t>
            </w:r>
          </w:p>
        </w:tc>
        <w:tc>
          <w:tcPr>
            <w:tcW w:w="1410" w:type="dxa"/>
          </w:tcPr>
          <w:p w:rsidR="00AE37C4" w:rsidRPr="00AD2641" w:rsidRDefault="00AD2641" w:rsidP="006A2261">
            <w:pPr>
              <w:pStyle w:val="20"/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15000 </w:t>
            </w:r>
            <w:r>
              <w:rPr>
                <w:b w:val="0"/>
                <w:sz w:val="24"/>
                <w:szCs w:val="24"/>
              </w:rPr>
              <w:t>грн.</w:t>
            </w:r>
          </w:p>
        </w:tc>
      </w:tr>
      <w:tr w:rsidR="00AD2641" w:rsidRPr="006A2261" w:rsidTr="00826AB4">
        <w:tc>
          <w:tcPr>
            <w:tcW w:w="562" w:type="dxa"/>
          </w:tcPr>
          <w:p w:rsidR="00AD2641" w:rsidRPr="006A2261" w:rsidRDefault="00AD2641" w:rsidP="00AD2641">
            <w:pPr>
              <w:pStyle w:val="20"/>
              <w:numPr>
                <w:ilvl w:val="0"/>
                <w:numId w:val="10"/>
              </w:numPr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2096" w:type="dxa"/>
          </w:tcPr>
          <w:p w:rsidR="00AD2641" w:rsidRPr="006A2261" w:rsidRDefault="00AD2641" w:rsidP="00AD2641">
            <w:pPr>
              <w:pStyle w:val="20"/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  <w:r w:rsidRPr="006A2261">
              <w:rPr>
                <w:b w:val="0"/>
                <w:sz w:val="24"/>
                <w:szCs w:val="24"/>
              </w:rPr>
              <w:t>Встановлення датчиків руху у вхідних дверей</w:t>
            </w:r>
          </w:p>
        </w:tc>
        <w:tc>
          <w:tcPr>
            <w:tcW w:w="1378" w:type="dxa"/>
          </w:tcPr>
          <w:p w:rsidR="00AD2641" w:rsidRPr="006A2261" w:rsidRDefault="00AD2641" w:rsidP="00AD2641">
            <w:pPr>
              <w:pStyle w:val="20"/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  <w:r w:rsidRPr="006A2261">
              <w:rPr>
                <w:b w:val="0"/>
                <w:sz w:val="24"/>
                <w:szCs w:val="24"/>
              </w:rPr>
              <w:t>Встановлення датчиків руху у вхідних дверей (4)</w:t>
            </w:r>
          </w:p>
        </w:tc>
        <w:tc>
          <w:tcPr>
            <w:tcW w:w="1771" w:type="dxa"/>
          </w:tcPr>
          <w:p w:rsidR="00AD2641" w:rsidRPr="006A2261" w:rsidRDefault="00AD2641" w:rsidP="00AD2641">
            <w:pPr>
              <w:pStyle w:val="20"/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  <w:r w:rsidRPr="006A2261">
              <w:rPr>
                <w:b w:val="0"/>
                <w:sz w:val="24"/>
                <w:szCs w:val="24"/>
              </w:rPr>
              <w:t>0,1% від загального споживання</w:t>
            </w:r>
          </w:p>
        </w:tc>
        <w:tc>
          <w:tcPr>
            <w:tcW w:w="1554" w:type="dxa"/>
          </w:tcPr>
          <w:p w:rsidR="00AD2641" w:rsidRPr="006A2261" w:rsidRDefault="00AD2641" w:rsidP="00AD2641">
            <w:pPr>
              <w:pStyle w:val="20"/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  <w:r w:rsidRPr="006A2261">
              <w:rPr>
                <w:b w:val="0"/>
                <w:sz w:val="24"/>
                <w:szCs w:val="24"/>
              </w:rPr>
              <w:t>Заступник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6A2261">
              <w:rPr>
                <w:b w:val="0"/>
                <w:sz w:val="24"/>
                <w:szCs w:val="24"/>
              </w:rPr>
              <w:t>начальника господарсько-технічного відділу</w:t>
            </w:r>
          </w:p>
        </w:tc>
        <w:tc>
          <w:tcPr>
            <w:tcW w:w="1427" w:type="dxa"/>
          </w:tcPr>
          <w:p w:rsidR="00AD2641" w:rsidRPr="006A2261" w:rsidRDefault="00AD2641" w:rsidP="00AD2641">
            <w:pPr>
              <w:pStyle w:val="20"/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31.12.2026 р.</w:t>
            </w:r>
          </w:p>
        </w:tc>
        <w:tc>
          <w:tcPr>
            <w:tcW w:w="1410" w:type="dxa"/>
          </w:tcPr>
          <w:p w:rsidR="00AD2641" w:rsidRPr="006A2261" w:rsidRDefault="00AD2641" w:rsidP="00AD2641">
            <w:pPr>
              <w:pStyle w:val="20"/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2000 грн.</w:t>
            </w:r>
          </w:p>
        </w:tc>
      </w:tr>
      <w:tr w:rsidR="00415A62" w:rsidRPr="006A2261" w:rsidTr="00415A62">
        <w:tc>
          <w:tcPr>
            <w:tcW w:w="10198" w:type="dxa"/>
            <w:gridSpan w:val="7"/>
            <w:vAlign w:val="center"/>
          </w:tcPr>
          <w:p w:rsidR="00415A62" w:rsidRPr="006A2261" w:rsidRDefault="00415A62" w:rsidP="00415A62">
            <w:pPr>
              <w:pStyle w:val="20"/>
              <w:tabs>
                <w:tab w:val="left" w:pos="363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A2261">
              <w:rPr>
                <w:sz w:val="24"/>
                <w:szCs w:val="24"/>
              </w:rPr>
              <w:lastRenderedPageBreak/>
              <w:t>Теплова енергія</w:t>
            </w:r>
          </w:p>
        </w:tc>
      </w:tr>
      <w:tr w:rsidR="00AD2641" w:rsidRPr="006A2261" w:rsidTr="00826AB4">
        <w:tc>
          <w:tcPr>
            <w:tcW w:w="562" w:type="dxa"/>
          </w:tcPr>
          <w:p w:rsidR="00AD2641" w:rsidRPr="006A2261" w:rsidRDefault="00AD2641" w:rsidP="00AD2641">
            <w:pPr>
              <w:pStyle w:val="20"/>
              <w:numPr>
                <w:ilvl w:val="0"/>
                <w:numId w:val="11"/>
              </w:numPr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2096" w:type="dxa"/>
          </w:tcPr>
          <w:p w:rsidR="00AD2641" w:rsidRPr="006A2261" w:rsidRDefault="00AD2641" w:rsidP="00AD2641">
            <w:pPr>
              <w:pStyle w:val="20"/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  <w:r w:rsidRPr="006A2261">
              <w:rPr>
                <w:b w:val="0"/>
                <w:sz w:val="24"/>
                <w:szCs w:val="24"/>
              </w:rPr>
              <w:t>Тепловізійне обстеження будівель</w:t>
            </w:r>
          </w:p>
        </w:tc>
        <w:tc>
          <w:tcPr>
            <w:tcW w:w="1378" w:type="dxa"/>
          </w:tcPr>
          <w:p w:rsidR="00AD2641" w:rsidRPr="006A2261" w:rsidRDefault="00AD2641" w:rsidP="00AD2641">
            <w:pPr>
              <w:pStyle w:val="20"/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  <w:r w:rsidRPr="006A2261">
              <w:rPr>
                <w:b w:val="0"/>
                <w:sz w:val="24"/>
                <w:szCs w:val="24"/>
              </w:rPr>
              <w:t>Проведення обстеження для виявлення "містків холоду"</w:t>
            </w:r>
          </w:p>
        </w:tc>
        <w:tc>
          <w:tcPr>
            <w:tcW w:w="1771" w:type="dxa"/>
          </w:tcPr>
          <w:p w:rsidR="00AD2641" w:rsidRPr="006A2261" w:rsidRDefault="00AD2641" w:rsidP="00AD2641">
            <w:pPr>
              <w:pStyle w:val="20"/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  <w:r w:rsidRPr="006A2261">
              <w:rPr>
                <w:b w:val="0"/>
                <w:sz w:val="24"/>
                <w:szCs w:val="24"/>
              </w:rPr>
              <w:t>Виявлення до 5% тепловтрат</w:t>
            </w:r>
          </w:p>
        </w:tc>
        <w:tc>
          <w:tcPr>
            <w:tcW w:w="1554" w:type="dxa"/>
          </w:tcPr>
          <w:p w:rsidR="00AD2641" w:rsidRPr="006A2261" w:rsidRDefault="00AD2641" w:rsidP="00AD2641">
            <w:pPr>
              <w:pStyle w:val="20"/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  <w:r w:rsidRPr="006A2261">
              <w:rPr>
                <w:b w:val="0"/>
                <w:sz w:val="24"/>
                <w:szCs w:val="24"/>
              </w:rPr>
              <w:t>Заступник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6A2261">
              <w:rPr>
                <w:b w:val="0"/>
                <w:sz w:val="24"/>
                <w:szCs w:val="24"/>
              </w:rPr>
              <w:t>начальника господарсько-технічного відділу</w:t>
            </w:r>
          </w:p>
        </w:tc>
        <w:tc>
          <w:tcPr>
            <w:tcW w:w="1427" w:type="dxa"/>
          </w:tcPr>
          <w:p w:rsidR="00AD2641" w:rsidRPr="006A2261" w:rsidRDefault="00AD2641" w:rsidP="00AD2641">
            <w:pPr>
              <w:pStyle w:val="20"/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31.12.2026 р.</w:t>
            </w:r>
          </w:p>
        </w:tc>
        <w:tc>
          <w:tcPr>
            <w:tcW w:w="1410" w:type="dxa"/>
          </w:tcPr>
          <w:p w:rsidR="00AD2641" w:rsidRPr="006A2261" w:rsidRDefault="00AD2641" w:rsidP="00AD2641">
            <w:pPr>
              <w:pStyle w:val="20"/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15000 грн. (послуги сторонніх організацій)</w:t>
            </w:r>
          </w:p>
        </w:tc>
      </w:tr>
      <w:tr w:rsidR="00AD2641" w:rsidRPr="006A2261" w:rsidTr="00826AB4">
        <w:tc>
          <w:tcPr>
            <w:tcW w:w="562" w:type="dxa"/>
          </w:tcPr>
          <w:p w:rsidR="00AD2641" w:rsidRPr="006A2261" w:rsidRDefault="00AD2641" w:rsidP="00AD2641">
            <w:pPr>
              <w:pStyle w:val="20"/>
              <w:numPr>
                <w:ilvl w:val="0"/>
                <w:numId w:val="11"/>
              </w:numPr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2096" w:type="dxa"/>
          </w:tcPr>
          <w:p w:rsidR="00AD2641" w:rsidRPr="006A2261" w:rsidRDefault="00AD2641" w:rsidP="00AD2641">
            <w:pPr>
              <w:pStyle w:val="20"/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  <w:r w:rsidRPr="006A2261">
              <w:rPr>
                <w:b w:val="0"/>
                <w:sz w:val="24"/>
                <w:szCs w:val="24"/>
              </w:rPr>
              <w:t>Утеплення віконних зовнішніх відкосів</w:t>
            </w:r>
          </w:p>
        </w:tc>
        <w:tc>
          <w:tcPr>
            <w:tcW w:w="1378" w:type="dxa"/>
          </w:tcPr>
          <w:p w:rsidR="00AD2641" w:rsidRPr="006A2261" w:rsidRDefault="00AD2641" w:rsidP="00AD2641">
            <w:pPr>
              <w:pStyle w:val="20"/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  <w:r w:rsidRPr="006A2261">
              <w:rPr>
                <w:b w:val="0"/>
                <w:sz w:val="24"/>
                <w:szCs w:val="24"/>
              </w:rPr>
              <w:t>Утеплення віконних зовнішніх відкосів</w:t>
            </w:r>
          </w:p>
        </w:tc>
        <w:tc>
          <w:tcPr>
            <w:tcW w:w="1771" w:type="dxa"/>
          </w:tcPr>
          <w:p w:rsidR="00AD2641" w:rsidRPr="006A2261" w:rsidRDefault="00AD2641" w:rsidP="00AD2641">
            <w:pPr>
              <w:pStyle w:val="20"/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  <w:r w:rsidRPr="006A2261">
              <w:rPr>
                <w:b w:val="0"/>
                <w:sz w:val="24"/>
                <w:szCs w:val="24"/>
              </w:rPr>
              <w:t>зниження споживання газу на</w:t>
            </w:r>
            <w:r>
              <w:rPr>
                <w:b w:val="0"/>
                <w:sz w:val="24"/>
                <w:szCs w:val="24"/>
              </w:rPr>
              <w:t xml:space="preserve"> 0,5%</w:t>
            </w:r>
          </w:p>
        </w:tc>
        <w:tc>
          <w:tcPr>
            <w:tcW w:w="1554" w:type="dxa"/>
          </w:tcPr>
          <w:p w:rsidR="00AD2641" w:rsidRPr="006A2261" w:rsidRDefault="00AD2641" w:rsidP="00AD2641">
            <w:pPr>
              <w:pStyle w:val="20"/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  <w:r w:rsidRPr="006A2261">
              <w:rPr>
                <w:b w:val="0"/>
                <w:sz w:val="24"/>
                <w:szCs w:val="24"/>
              </w:rPr>
              <w:t>Заступник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6A2261">
              <w:rPr>
                <w:b w:val="0"/>
                <w:sz w:val="24"/>
                <w:szCs w:val="24"/>
              </w:rPr>
              <w:t>начальника господарсько-технічного відділу</w:t>
            </w:r>
          </w:p>
        </w:tc>
        <w:tc>
          <w:tcPr>
            <w:tcW w:w="1427" w:type="dxa"/>
          </w:tcPr>
          <w:p w:rsidR="00AD2641" w:rsidRPr="006A2261" w:rsidRDefault="00AD2641" w:rsidP="00AD2641">
            <w:pPr>
              <w:pStyle w:val="20"/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31.10.2026 р.</w:t>
            </w:r>
          </w:p>
        </w:tc>
        <w:tc>
          <w:tcPr>
            <w:tcW w:w="1410" w:type="dxa"/>
          </w:tcPr>
          <w:p w:rsidR="00AD2641" w:rsidRPr="006A2261" w:rsidRDefault="003845B4" w:rsidP="00AD2641">
            <w:pPr>
              <w:pStyle w:val="20"/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8000 грн.</w:t>
            </w:r>
          </w:p>
        </w:tc>
      </w:tr>
      <w:tr w:rsidR="00AD2641" w:rsidRPr="006A2261" w:rsidTr="00826AB4">
        <w:tc>
          <w:tcPr>
            <w:tcW w:w="562" w:type="dxa"/>
          </w:tcPr>
          <w:p w:rsidR="00AD2641" w:rsidRPr="006A2261" w:rsidRDefault="00AD2641" w:rsidP="00AD2641">
            <w:pPr>
              <w:pStyle w:val="20"/>
              <w:numPr>
                <w:ilvl w:val="0"/>
                <w:numId w:val="11"/>
              </w:numPr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2096" w:type="dxa"/>
          </w:tcPr>
          <w:p w:rsidR="00AD2641" w:rsidRPr="006A2261" w:rsidRDefault="00AD2641" w:rsidP="00AD2641">
            <w:pPr>
              <w:pStyle w:val="20"/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  <w:r w:rsidRPr="006A2261">
              <w:rPr>
                <w:b w:val="0"/>
                <w:sz w:val="24"/>
                <w:szCs w:val="24"/>
              </w:rPr>
              <w:t>Перехід на альтернативні джерела палива</w:t>
            </w:r>
          </w:p>
        </w:tc>
        <w:tc>
          <w:tcPr>
            <w:tcW w:w="1378" w:type="dxa"/>
          </w:tcPr>
          <w:p w:rsidR="00AD2641" w:rsidRPr="006A2261" w:rsidRDefault="00AD2641" w:rsidP="00AD2641">
            <w:pPr>
              <w:pStyle w:val="20"/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  <w:r w:rsidRPr="006A2261">
              <w:rPr>
                <w:b w:val="0"/>
                <w:sz w:val="24"/>
                <w:szCs w:val="24"/>
              </w:rPr>
              <w:t>Частковий перехід на дров’яне  опалення</w:t>
            </w:r>
          </w:p>
        </w:tc>
        <w:tc>
          <w:tcPr>
            <w:tcW w:w="1771" w:type="dxa"/>
          </w:tcPr>
          <w:p w:rsidR="00AD2641" w:rsidRPr="006A2261" w:rsidRDefault="00AD2641" w:rsidP="00AD2641">
            <w:pPr>
              <w:pStyle w:val="20"/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  <w:r w:rsidRPr="006A2261">
              <w:rPr>
                <w:b w:val="0"/>
                <w:sz w:val="24"/>
                <w:szCs w:val="24"/>
              </w:rPr>
              <w:t>зниження споживання газу на</w:t>
            </w:r>
            <w:r>
              <w:rPr>
                <w:b w:val="0"/>
                <w:sz w:val="24"/>
                <w:szCs w:val="24"/>
              </w:rPr>
              <w:t xml:space="preserve"> 1,5%</w:t>
            </w:r>
          </w:p>
        </w:tc>
        <w:tc>
          <w:tcPr>
            <w:tcW w:w="1554" w:type="dxa"/>
          </w:tcPr>
          <w:p w:rsidR="00AD2641" w:rsidRPr="006A2261" w:rsidRDefault="00AD2641" w:rsidP="00AD2641">
            <w:pPr>
              <w:pStyle w:val="20"/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  <w:r w:rsidRPr="006A2261">
              <w:rPr>
                <w:b w:val="0"/>
                <w:sz w:val="24"/>
                <w:szCs w:val="24"/>
              </w:rPr>
              <w:t>Заступник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6A2261">
              <w:rPr>
                <w:b w:val="0"/>
                <w:sz w:val="24"/>
                <w:szCs w:val="24"/>
              </w:rPr>
              <w:t>начальника господарсько-технічного відділу</w:t>
            </w:r>
          </w:p>
        </w:tc>
        <w:tc>
          <w:tcPr>
            <w:tcW w:w="1427" w:type="dxa"/>
          </w:tcPr>
          <w:p w:rsidR="00AD2641" w:rsidRPr="006A2261" w:rsidRDefault="00AD2641" w:rsidP="00AD2641">
            <w:pPr>
              <w:pStyle w:val="20"/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15.10.2025 р.</w:t>
            </w:r>
          </w:p>
        </w:tc>
        <w:tc>
          <w:tcPr>
            <w:tcW w:w="1410" w:type="dxa"/>
          </w:tcPr>
          <w:p w:rsidR="00AD2641" w:rsidRPr="006A2261" w:rsidRDefault="003845B4" w:rsidP="00AD2641">
            <w:pPr>
              <w:pStyle w:val="20"/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3000 грн.</w:t>
            </w:r>
          </w:p>
        </w:tc>
      </w:tr>
      <w:tr w:rsidR="00415A62" w:rsidRPr="006A2261" w:rsidTr="00415A62">
        <w:tc>
          <w:tcPr>
            <w:tcW w:w="10198" w:type="dxa"/>
            <w:gridSpan w:val="7"/>
            <w:vAlign w:val="center"/>
          </w:tcPr>
          <w:p w:rsidR="00415A62" w:rsidRPr="006A2261" w:rsidRDefault="00415A62" w:rsidP="00415A62">
            <w:pPr>
              <w:pStyle w:val="20"/>
              <w:tabs>
                <w:tab w:val="left" w:pos="363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A2261">
              <w:rPr>
                <w:sz w:val="24"/>
                <w:szCs w:val="24"/>
              </w:rPr>
              <w:t>Обізнаність персоналу</w:t>
            </w:r>
          </w:p>
        </w:tc>
      </w:tr>
      <w:tr w:rsidR="00AD2641" w:rsidRPr="006A2261" w:rsidTr="00415A62">
        <w:tc>
          <w:tcPr>
            <w:tcW w:w="562" w:type="dxa"/>
          </w:tcPr>
          <w:p w:rsidR="00AD2641" w:rsidRPr="006A2261" w:rsidRDefault="00AD2641" w:rsidP="00AD2641">
            <w:pPr>
              <w:pStyle w:val="20"/>
              <w:numPr>
                <w:ilvl w:val="0"/>
                <w:numId w:val="12"/>
              </w:numPr>
              <w:tabs>
                <w:tab w:val="left" w:pos="363"/>
              </w:tabs>
              <w:ind w:right="-57"/>
              <w:rPr>
                <w:b w:val="0"/>
                <w:sz w:val="24"/>
                <w:szCs w:val="24"/>
              </w:rPr>
            </w:pPr>
          </w:p>
        </w:tc>
        <w:tc>
          <w:tcPr>
            <w:tcW w:w="2096" w:type="dxa"/>
          </w:tcPr>
          <w:p w:rsidR="00AD2641" w:rsidRPr="006A2261" w:rsidRDefault="00AD2641" w:rsidP="00AD2641">
            <w:pPr>
              <w:pStyle w:val="20"/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1378" w:type="dxa"/>
          </w:tcPr>
          <w:p w:rsidR="00AD2641" w:rsidRPr="006A2261" w:rsidRDefault="00AD2641" w:rsidP="00AD2641">
            <w:pPr>
              <w:pStyle w:val="20"/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  <w:r w:rsidRPr="006A2261">
              <w:rPr>
                <w:b w:val="0"/>
                <w:sz w:val="24"/>
                <w:szCs w:val="24"/>
              </w:rPr>
              <w:t>Проведення навчальних семінарів</w:t>
            </w:r>
          </w:p>
        </w:tc>
        <w:tc>
          <w:tcPr>
            <w:tcW w:w="1771" w:type="dxa"/>
          </w:tcPr>
          <w:p w:rsidR="00AD2641" w:rsidRPr="006A2261" w:rsidRDefault="00AD2641" w:rsidP="00AD2641">
            <w:pPr>
              <w:pStyle w:val="20"/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  <w:r w:rsidRPr="006A2261">
              <w:rPr>
                <w:b w:val="0"/>
                <w:sz w:val="24"/>
                <w:szCs w:val="24"/>
              </w:rPr>
              <w:t>Організація  2 семінарів для персоналу щодо принципів енергозбереження та СЕнМ</w:t>
            </w:r>
          </w:p>
        </w:tc>
        <w:tc>
          <w:tcPr>
            <w:tcW w:w="1554" w:type="dxa"/>
          </w:tcPr>
          <w:p w:rsidR="00AD2641" w:rsidRPr="006A2261" w:rsidRDefault="00AD2641" w:rsidP="00AD2641">
            <w:pPr>
              <w:pStyle w:val="20"/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Провідний інженер з охорони природних екосистем</w:t>
            </w:r>
          </w:p>
        </w:tc>
        <w:tc>
          <w:tcPr>
            <w:tcW w:w="1427" w:type="dxa"/>
          </w:tcPr>
          <w:p w:rsidR="00AD2641" w:rsidRDefault="00AD2641" w:rsidP="00AD2641">
            <w:pPr>
              <w:pStyle w:val="20"/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15.08.2025 р.</w:t>
            </w:r>
          </w:p>
          <w:p w:rsidR="00AD2641" w:rsidRDefault="00AD2641" w:rsidP="00AD2641">
            <w:pPr>
              <w:pStyle w:val="20"/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15.11.2025 р.</w:t>
            </w:r>
          </w:p>
          <w:p w:rsidR="00AD2641" w:rsidRPr="006A2261" w:rsidRDefault="00AD2641" w:rsidP="00AD2641">
            <w:pPr>
              <w:pStyle w:val="20"/>
              <w:tabs>
                <w:tab w:val="left" w:pos="363"/>
              </w:tabs>
              <w:ind w:left="-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1410" w:type="dxa"/>
          </w:tcPr>
          <w:p w:rsidR="00AD2641" w:rsidRPr="006A2261" w:rsidRDefault="003845B4" w:rsidP="00415A62">
            <w:pPr>
              <w:pStyle w:val="20"/>
              <w:tabs>
                <w:tab w:val="left" w:pos="363"/>
              </w:tabs>
              <w:ind w:left="-57" w:right="-57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</w:tbl>
    <w:p w:rsidR="00AE37C4" w:rsidRDefault="00AE37C4" w:rsidP="00AE37C4">
      <w:pPr>
        <w:pStyle w:val="20"/>
        <w:tabs>
          <w:tab w:val="left" w:pos="363"/>
        </w:tabs>
        <w:spacing w:after="120"/>
        <w:rPr>
          <w:sz w:val="28"/>
          <w:szCs w:val="28"/>
        </w:rPr>
      </w:pPr>
    </w:p>
    <w:p w:rsidR="00FD7451" w:rsidRPr="00FD7451" w:rsidRDefault="00FD7451" w:rsidP="00FD7451">
      <w:pPr>
        <w:spacing w:after="99" w:line="1" w:lineRule="exact"/>
        <w:rPr>
          <w:rFonts w:ascii="Times New Roman" w:hAnsi="Times New Roman" w:cs="Times New Roman"/>
          <w:sz w:val="28"/>
          <w:szCs w:val="28"/>
        </w:rPr>
      </w:pPr>
    </w:p>
    <w:p w:rsidR="00FD7451" w:rsidRPr="00223C55" w:rsidRDefault="00FD7451" w:rsidP="00223C55">
      <w:pPr>
        <w:pStyle w:val="20"/>
        <w:numPr>
          <w:ilvl w:val="0"/>
          <w:numId w:val="7"/>
        </w:numPr>
        <w:tabs>
          <w:tab w:val="left" w:pos="356"/>
        </w:tabs>
        <w:spacing w:after="120"/>
        <w:jc w:val="center"/>
        <w:rPr>
          <w:color w:val="auto"/>
          <w:sz w:val="28"/>
          <w:szCs w:val="28"/>
        </w:rPr>
      </w:pPr>
      <w:r w:rsidRPr="00223C55">
        <w:rPr>
          <w:color w:val="auto"/>
          <w:sz w:val="28"/>
          <w:szCs w:val="28"/>
        </w:rPr>
        <w:t>Моніторинг, вимірювання та оцінка</w:t>
      </w:r>
    </w:p>
    <w:p w:rsidR="00FD7451" w:rsidRPr="00223C55" w:rsidRDefault="00FD7451" w:rsidP="00415A62">
      <w:pPr>
        <w:pStyle w:val="1"/>
        <w:numPr>
          <w:ilvl w:val="0"/>
          <w:numId w:val="8"/>
        </w:numPr>
        <w:tabs>
          <w:tab w:val="left" w:pos="750"/>
        </w:tabs>
        <w:spacing w:line="264" w:lineRule="auto"/>
        <w:ind w:left="360" w:hanging="360"/>
        <w:jc w:val="both"/>
        <w:rPr>
          <w:b/>
          <w:bCs/>
          <w:color w:val="000000"/>
          <w:sz w:val="28"/>
          <w:szCs w:val="28"/>
        </w:rPr>
      </w:pPr>
      <w:r w:rsidRPr="00FD7451">
        <w:rPr>
          <w:b/>
          <w:bCs/>
          <w:color w:val="000000"/>
          <w:sz w:val="28"/>
          <w:szCs w:val="28"/>
        </w:rPr>
        <w:t xml:space="preserve">Щомісячний моніторинг: </w:t>
      </w:r>
      <w:r w:rsidRPr="00223C55">
        <w:rPr>
          <w:bCs/>
          <w:color w:val="000000"/>
          <w:sz w:val="28"/>
          <w:szCs w:val="28"/>
        </w:rPr>
        <w:t>Збір даних з лічильників електроенергії, газу, вода.</w:t>
      </w:r>
    </w:p>
    <w:p w:rsidR="00FD7451" w:rsidRPr="00223C55" w:rsidRDefault="00FD7451" w:rsidP="00415A62">
      <w:pPr>
        <w:pStyle w:val="1"/>
        <w:numPr>
          <w:ilvl w:val="0"/>
          <w:numId w:val="8"/>
        </w:numPr>
        <w:tabs>
          <w:tab w:val="left" w:pos="750"/>
        </w:tabs>
        <w:spacing w:line="264" w:lineRule="auto"/>
        <w:ind w:left="360" w:hanging="360"/>
        <w:jc w:val="both"/>
        <w:rPr>
          <w:bCs/>
          <w:color w:val="000000"/>
          <w:sz w:val="28"/>
          <w:szCs w:val="28"/>
        </w:rPr>
      </w:pPr>
      <w:r w:rsidRPr="00FD7451">
        <w:rPr>
          <w:b/>
          <w:bCs/>
          <w:color w:val="000000"/>
          <w:sz w:val="28"/>
          <w:szCs w:val="28"/>
        </w:rPr>
        <w:t xml:space="preserve">Щоквартальний аналіз: </w:t>
      </w:r>
      <w:r w:rsidRPr="00223C55">
        <w:rPr>
          <w:bCs/>
          <w:color w:val="000000"/>
          <w:sz w:val="28"/>
          <w:szCs w:val="28"/>
        </w:rPr>
        <w:t>Аналіз фактичного споживання енергії відносно базової лінії та встановлених цілей. Виявлення відхилень та причин.</w:t>
      </w:r>
    </w:p>
    <w:p w:rsidR="00FD7451" w:rsidRPr="00FD7451" w:rsidRDefault="00FD7451" w:rsidP="00415A62">
      <w:pPr>
        <w:pStyle w:val="1"/>
        <w:numPr>
          <w:ilvl w:val="0"/>
          <w:numId w:val="8"/>
        </w:numPr>
        <w:tabs>
          <w:tab w:val="left" w:pos="750"/>
        </w:tabs>
        <w:spacing w:line="264" w:lineRule="auto"/>
        <w:ind w:left="360" w:hanging="360"/>
        <w:jc w:val="both"/>
        <w:rPr>
          <w:sz w:val="28"/>
          <w:szCs w:val="28"/>
        </w:rPr>
      </w:pPr>
      <w:r w:rsidRPr="00FD7451">
        <w:rPr>
          <w:b/>
          <w:bCs/>
          <w:color w:val="000000"/>
          <w:sz w:val="28"/>
          <w:szCs w:val="28"/>
        </w:rPr>
        <w:t xml:space="preserve">Піврічний звіт: </w:t>
      </w:r>
      <w:r w:rsidRPr="00FD7451">
        <w:rPr>
          <w:color w:val="000000"/>
          <w:sz w:val="28"/>
          <w:szCs w:val="28"/>
        </w:rPr>
        <w:t>Підготовка звітів про прогрес виконання Плану для керівництва.</w:t>
      </w:r>
    </w:p>
    <w:p w:rsidR="00FD7451" w:rsidRPr="00FD7451" w:rsidRDefault="00FD7451" w:rsidP="00415A62">
      <w:pPr>
        <w:pStyle w:val="1"/>
        <w:numPr>
          <w:ilvl w:val="0"/>
          <w:numId w:val="8"/>
        </w:numPr>
        <w:tabs>
          <w:tab w:val="left" w:pos="750"/>
        </w:tabs>
        <w:spacing w:after="120"/>
        <w:ind w:left="357" w:hanging="357"/>
        <w:jc w:val="both"/>
        <w:rPr>
          <w:sz w:val="28"/>
          <w:szCs w:val="28"/>
        </w:rPr>
      </w:pPr>
      <w:r w:rsidRPr="00FD7451">
        <w:rPr>
          <w:b/>
          <w:bCs/>
          <w:color w:val="000000"/>
          <w:sz w:val="28"/>
          <w:szCs w:val="28"/>
        </w:rPr>
        <w:t xml:space="preserve">Річний перегляд: </w:t>
      </w:r>
      <w:r w:rsidRPr="00FD7451">
        <w:rPr>
          <w:color w:val="000000"/>
          <w:sz w:val="28"/>
          <w:szCs w:val="28"/>
        </w:rPr>
        <w:t>Комплексна оцінка ефективності СЕнМ, аналіз досягнення цілей, виявлення нових можливостей для поліпшення.</w:t>
      </w:r>
    </w:p>
    <w:p w:rsidR="00FD7451" w:rsidRPr="00FD7451" w:rsidRDefault="00FD7451" w:rsidP="006A2261">
      <w:pPr>
        <w:pStyle w:val="20"/>
        <w:numPr>
          <w:ilvl w:val="0"/>
          <w:numId w:val="7"/>
        </w:numPr>
        <w:tabs>
          <w:tab w:val="left" w:pos="346"/>
        </w:tabs>
        <w:jc w:val="center"/>
        <w:rPr>
          <w:sz w:val="28"/>
          <w:szCs w:val="28"/>
        </w:rPr>
      </w:pPr>
      <w:r w:rsidRPr="00FD7451">
        <w:rPr>
          <w:sz w:val="28"/>
          <w:szCs w:val="28"/>
        </w:rPr>
        <w:t>Управління документацією та обмін інформацією</w:t>
      </w:r>
    </w:p>
    <w:p w:rsidR="00FD7451" w:rsidRPr="00FD7451" w:rsidRDefault="00FD7451" w:rsidP="00415A62">
      <w:pPr>
        <w:pStyle w:val="1"/>
        <w:numPr>
          <w:ilvl w:val="0"/>
          <w:numId w:val="9"/>
        </w:numPr>
        <w:tabs>
          <w:tab w:val="left" w:pos="750"/>
        </w:tabs>
        <w:spacing w:line="264" w:lineRule="auto"/>
        <w:ind w:left="360" w:hanging="360"/>
        <w:jc w:val="both"/>
        <w:rPr>
          <w:sz w:val="28"/>
          <w:szCs w:val="28"/>
        </w:rPr>
      </w:pPr>
      <w:r w:rsidRPr="00FD7451">
        <w:rPr>
          <w:color w:val="000000"/>
          <w:sz w:val="28"/>
          <w:szCs w:val="28"/>
        </w:rPr>
        <w:t>Вся документація, пов’язана з СЕнМ (плани, звіти, протоколи, записи), ведеться у відповідності до внутрішніх процедур.</w:t>
      </w:r>
    </w:p>
    <w:p w:rsidR="00FD7451" w:rsidRPr="00FD7451" w:rsidRDefault="00FD7451" w:rsidP="00415A62">
      <w:pPr>
        <w:pStyle w:val="1"/>
        <w:numPr>
          <w:ilvl w:val="0"/>
          <w:numId w:val="9"/>
        </w:numPr>
        <w:tabs>
          <w:tab w:val="left" w:pos="750"/>
        </w:tabs>
        <w:spacing w:after="120"/>
        <w:ind w:left="357" w:hanging="357"/>
        <w:jc w:val="both"/>
        <w:rPr>
          <w:sz w:val="28"/>
          <w:szCs w:val="28"/>
        </w:rPr>
      </w:pPr>
      <w:r w:rsidRPr="00FD7451">
        <w:rPr>
          <w:color w:val="000000"/>
          <w:sz w:val="28"/>
          <w:szCs w:val="28"/>
        </w:rPr>
        <w:t>Інформація про енергетичну політику, цілі та досягнення СЕнМ доводиться до всього персоналу через внутрішні комунікаційні канали.</w:t>
      </w:r>
    </w:p>
    <w:p w:rsidR="00FD7451" w:rsidRPr="00FD7451" w:rsidRDefault="00FD7451" w:rsidP="006A2261">
      <w:pPr>
        <w:pStyle w:val="20"/>
        <w:numPr>
          <w:ilvl w:val="0"/>
          <w:numId w:val="7"/>
        </w:numPr>
        <w:tabs>
          <w:tab w:val="left" w:pos="356"/>
        </w:tabs>
        <w:jc w:val="center"/>
        <w:rPr>
          <w:sz w:val="28"/>
          <w:szCs w:val="28"/>
        </w:rPr>
      </w:pPr>
      <w:r w:rsidRPr="00FD7451">
        <w:rPr>
          <w:sz w:val="28"/>
          <w:szCs w:val="28"/>
        </w:rPr>
        <w:t>Відповідальність</w:t>
      </w:r>
    </w:p>
    <w:p w:rsidR="00FD7451" w:rsidRPr="00FD7451" w:rsidRDefault="00FD7451" w:rsidP="006A2261">
      <w:pPr>
        <w:pStyle w:val="1"/>
        <w:ind w:firstLine="708"/>
        <w:jc w:val="both"/>
        <w:rPr>
          <w:sz w:val="28"/>
          <w:szCs w:val="28"/>
        </w:rPr>
      </w:pPr>
      <w:r w:rsidRPr="00FD7451">
        <w:rPr>
          <w:color w:val="000000"/>
          <w:sz w:val="28"/>
          <w:szCs w:val="28"/>
        </w:rPr>
        <w:t xml:space="preserve">Загальна координація виконання Плану діяльності СЕнМ покладається на </w:t>
      </w:r>
      <w:r w:rsidRPr="00FD7451">
        <w:rPr>
          <w:b/>
          <w:bCs/>
          <w:color w:val="000000"/>
          <w:sz w:val="28"/>
          <w:szCs w:val="28"/>
        </w:rPr>
        <w:t xml:space="preserve">Представника керівництва </w:t>
      </w:r>
      <w:r w:rsidRPr="00FD7451">
        <w:rPr>
          <w:color w:val="000000"/>
          <w:sz w:val="28"/>
          <w:szCs w:val="28"/>
        </w:rPr>
        <w:t xml:space="preserve">з </w:t>
      </w:r>
      <w:r w:rsidRPr="00FD7451">
        <w:rPr>
          <w:b/>
          <w:bCs/>
          <w:color w:val="000000"/>
          <w:sz w:val="28"/>
          <w:szCs w:val="28"/>
        </w:rPr>
        <w:t>питань СЕнМ (</w:t>
      </w:r>
      <w:r w:rsidR="00D47283">
        <w:rPr>
          <w:b/>
          <w:bCs/>
          <w:color w:val="000000"/>
          <w:sz w:val="28"/>
          <w:szCs w:val="28"/>
        </w:rPr>
        <w:t>Заступник</w:t>
      </w:r>
      <w:r w:rsidR="006A2261">
        <w:rPr>
          <w:b/>
          <w:bCs/>
          <w:color w:val="000000"/>
          <w:sz w:val="28"/>
          <w:szCs w:val="28"/>
        </w:rPr>
        <w:t>а</w:t>
      </w:r>
      <w:r w:rsidR="00D47283">
        <w:rPr>
          <w:b/>
          <w:bCs/>
          <w:color w:val="000000"/>
          <w:sz w:val="28"/>
          <w:szCs w:val="28"/>
        </w:rPr>
        <w:t xml:space="preserve"> начальника господарсько-технічного відділу</w:t>
      </w:r>
      <w:r w:rsidRPr="00FD7451">
        <w:rPr>
          <w:b/>
          <w:bCs/>
          <w:color w:val="000000"/>
          <w:sz w:val="28"/>
          <w:szCs w:val="28"/>
        </w:rPr>
        <w:t xml:space="preserve">). </w:t>
      </w:r>
      <w:r w:rsidRPr="00FD7451">
        <w:rPr>
          <w:color w:val="000000"/>
          <w:sz w:val="28"/>
          <w:szCs w:val="28"/>
        </w:rPr>
        <w:t>Кожен керівник підрозділу несе відповідальність за виконання заходів, зазначених у цьому Плані, в межах своєї компетенції.</w:t>
      </w:r>
    </w:p>
    <w:sectPr w:rsidR="00FD7451" w:rsidRPr="00FD7451" w:rsidSect="00FD7451">
      <w:pgSz w:w="11909" w:h="16840"/>
      <w:pgMar w:top="567" w:right="567" w:bottom="567" w:left="1134" w:header="629" w:footer="62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D91" w:rsidRDefault="00B54D91">
      <w:r>
        <w:separator/>
      </w:r>
    </w:p>
  </w:endnote>
  <w:endnote w:type="continuationSeparator" w:id="0">
    <w:p w:rsidR="00B54D91" w:rsidRDefault="00B5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D91" w:rsidRDefault="00B54D91"/>
  </w:footnote>
  <w:footnote w:type="continuationSeparator" w:id="0">
    <w:p w:rsidR="00B54D91" w:rsidRDefault="00B54D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C0F2E"/>
    <w:multiLevelType w:val="multilevel"/>
    <w:tmpl w:val="3A7298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266631"/>
    <w:multiLevelType w:val="multilevel"/>
    <w:tmpl w:val="5A4C87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41315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3E1DF9"/>
    <w:multiLevelType w:val="multilevel"/>
    <w:tmpl w:val="0E0AF3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31314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D139F5"/>
    <w:multiLevelType w:val="multilevel"/>
    <w:tmpl w:val="3C6677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41315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C64C53"/>
    <w:multiLevelType w:val="multilevel"/>
    <w:tmpl w:val="A4DE7112"/>
    <w:lvl w:ilvl="0">
      <w:start w:val="5"/>
      <w:numFmt w:val="decimal"/>
      <w:lvlText w:val="%1."/>
      <w:lvlJc w:val="left"/>
      <w:rPr>
        <w:rFonts w:ascii="Times New Roman" w:eastAsia="Calibri" w:hAnsi="Times New Roman" w:cs="Times New Roman" w:hint="default"/>
        <w:b/>
        <w:bCs w:val="0"/>
        <w:i w:val="0"/>
        <w:iCs w:val="0"/>
        <w:smallCaps w:val="0"/>
        <w:strike w:val="0"/>
        <w:color w:val="2E4A6D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E96B2E"/>
    <w:multiLevelType w:val="multilevel"/>
    <w:tmpl w:val="2D50BAA6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 w:val="0"/>
        <w:i w:val="0"/>
        <w:iCs w:val="0"/>
        <w:smallCaps w:val="0"/>
        <w:strike w:val="0"/>
        <w:color w:val="2E4A6D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A465A2"/>
    <w:multiLevelType w:val="multilevel"/>
    <w:tmpl w:val="91B41F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1E3AF3"/>
    <w:multiLevelType w:val="multilevel"/>
    <w:tmpl w:val="0EAADAA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2E4A6D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516160"/>
    <w:multiLevelType w:val="multilevel"/>
    <w:tmpl w:val="0EAADAA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2E4A6D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4A2E19"/>
    <w:multiLevelType w:val="multilevel"/>
    <w:tmpl w:val="0EAADAA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2E4A6D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BD223F"/>
    <w:multiLevelType w:val="multilevel"/>
    <w:tmpl w:val="FF9CB7D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31314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DF4343"/>
    <w:multiLevelType w:val="multilevel"/>
    <w:tmpl w:val="623E6126"/>
    <w:lvl w:ilvl="0">
      <w:start w:val="3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E4A6D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3"/>
  </w:num>
  <w:num w:numId="5">
    <w:abstractNumId w:val="11"/>
  </w:num>
  <w:num w:numId="6">
    <w:abstractNumId w:val="1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6A"/>
    <w:rsid w:val="00041415"/>
    <w:rsid w:val="000C5388"/>
    <w:rsid w:val="001B6A38"/>
    <w:rsid w:val="00223C55"/>
    <w:rsid w:val="002E0B80"/>
    <w:rsid w:val="003845B4"/>
    <w:rsid w:val="00415A62"/>
    <w:rsid w:val="006814A5"/>
    <w:rsid w:val="00690E0E"/>
    <w:rsid w:val="006A2261"/>
    <w:rsid w:val="00826AB4"/>
    <w:rsid w:val="0087116A"/>
    <w:rsid w:val="00AD2641"/>
    <w:rsid w:val="00AE37C4"/>
    <w:rsid w:val="00B46846"/>
    <w:rsid w:val="00B54D91"/>
    <w:rsid w:val="00CD309E"/>
    <w:rsid w:val="00D47283"/>
    <w:rsid w:val="00FB1A0D"/>
    <w:rsid w:val="00FB36BF"/>
    <w:rsid w:val="00FD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9071"/>
  <w15:docId w15:val="{5E501C60-74CA-44A5-9CB9-80DD8BB1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3131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31314"/>
      <w:sz w:val="36"/>
      <w:szCs w:val="36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color w:val="131314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b/>
      <w:bCs/>
      <w:color w:val="131314"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B468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846"/>
    <w:rPr>
      <w:rFonts w:ascii="Segoe UI" w:hAnsi="Segoe UI" w:cs="Segoe UI"/>
      <w:color w:val="000000"/>
      <w:sz w:val="18"/>
      <w:szCs w:val="18"/>
    </w:rPr>
  </w:style>
  <w:style w:type="character" w:customStyle="1" w:styleId="10">
    <w:name w:val="Заголовок №1_"/>
    <w:basedOn w:val="a0"/>
    <w:link w:val="11"/>
    <w:rsid w:val="00FD7451"/>
    <w:rPr>
      <w:rFonts w:ascii="Times New Roman" w:eastAsia="Times New Roman" w:hAnsi="Times New Roman" w:cs="Times New Roman"/>
      <w:b/>
      <w:bCs/>
      <w:color w:val="141315"/>
      <w:sz w:val="36"/>
      <w:szCs w:val="36"/>
    </w:rPr>
  </w:style>
  <w:style w:type="character" w:customStyle="1" w:styleId="a6">
    <w:name w:val="Подпись к таблице_"/>
    <w:basedOn w:val="a0"/>
    <w:link w:val="a7"/>
    <w:rsid w:val="00FD7451"/>
    <w:rPr>
      <w:rFonts w:ascii="Calibri" w:eastAsia="Calibri" w:hAnsi="Calibri" w:cs="Calibri"/>
      <w:color w:val="2E4A6D"/>
      <w:sz w:val="22"/>
      <w:szCs w:val="22"/>
    </w:rPr>
  </w:style>
  <w:style w:type="character" w:customStyle="1" w:styleId="a8">
    <w:name w:val="Другое_"/>
    <w:basedOn w:val="a0"/>
    <w:link w:val="a9"/>
    <w:rsid w:val="00FD7451"/>
    <w:rPr>
      <w:rFonts w:ascii="Times New Roman" w:eastAsia="Times New Roman" w:hAnsi="Times New Roman" w:cs="Times New Roman"/>
      <w:color w:val="141315"/>
      <w:sz w:val="22"/>
      <w:szCs w:val="22"/>
    </w:rPr>
  </w:style>
  <w:style w:type="paragraph" w:customStyle="1" w:styleId="11">
    <w:name w:val="Заголовок №1"/>
    <w:basedOn w:val="a"/>
    <w:link w:val="10"/>
    <w:rsid w:val="00FD7451"/>
    <w:pPr>
      <w:outlineLvl w:val="0"/>
    </w:pPr>
    <w:rPr>
      <w:rFonts w:ascii="Times New Roman" w:eastAsia="Times New Roman" w:hAnsi="Times New Roman" w:cs="Times New Roman"/>
      <w:b/>
      <w:bCs/>
      <w:color w:val="141315"/>
      <w:sz w:val="36"/>
      <w:szCs w:val="36"/>
    </w:rPr>
  </w:style>
  <w:style w:type="paragraph" w:customStyle="1" w:styleId="a7">
    <w:name w:val="Подпись к таблице"/>
    <w:basedOn w:val="a"/>
    <w:link w:val="a6"/>
    <w:rsid w:val="00FD7451"/>
    <w:pPr>
      <w:spacing w:line="254" w:lineRule="auto"/>
    </w:pPr>
    <w:rPr>
      <w:rFonts w:ascii="Calibri" w:eastAsia="Calibri" w:hAnsi="Calibri" w:cs="Calibri"/>
      <w:color w:val="2E4A6D"/>
      <w:sz w:val="22"/>
      <w:szCs w:val="22"/>
    </w:rPr>
  </w:style>
  <w:style w:type="paragraph" w:customStyle="1" w:styleId="a9">
    <w:name w:val="Другое"/>
    <w:basedOn w:val="a"/>
    <w:link w:val="a8"/>
    <w:rsid w:val="00FD7451"/>
    <w:pPr>
      <w:spacing w:line="264" w:lineRule="auto"/>
    </w:pPr>
    <w:rPr>
      <w:rFonts w:ascii="Times New Roman" w:eastAsia="Times New Roman" w:hAnsi="Times New Roman" w:cs="Times New Roman"/>
      <w:color w:val="141315"/>
      <w:sz w:val="22"/>
      <w:szCs w:val="22"/>
    </w:rPr>
  </w:style>
  <w:style w:type="table" w:styleId="aa">
    <w:name w:val="Table Grid"/>
    <w:basedOn w:val="a1"/>
    <w:uiPriority w:val="39"/>
    <w:rsid w:val="00AE3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2468</Words>
  <Characters>1407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ternopil</dc:creator>
  <cp:lastModifiedBy>ternopil</cp:lastModifiedBy>
  <cp:revision>9</cp:revision>
  <cp:lastPrinted>2025-07-18T07:22:00Z</cp:lastPrinted>
  <dcterms:created xsi:type="dcterms:W3CDTF">2025-07-18T07:24:00Z</dcterms:created>
  <dcterms:modified xsi:type="dcterms:W3CDTF">2025-07-18T11:13:00Z</dcterms:modified>
</cp:coreProperties>
</file>